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ascii="方正黑体简体" w:hAnsi="方正黑体简体" w:eastAsia="方正黑体简体" w:cs="方正黑体简体"/>
        </w:rPr>
      </w:pPr>
    </w:p>
    <w:tbl>
      <w:tblPr>
        <w:tblStyle w:val="2"/>
        <w:tblpPr w:leftFromText="180" w:rightFromText="180" w:vertAnchor="text" w:tblpX="10483" w:tblpY="47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住房公积金年度月缴存额上限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40" w:lineRule="exact"/>
        <w:jc w:val="righ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单位：元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613"/>
        <w:gridCol w:w="1477"/>
        <w:gridCol w:w="2019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单位和个人住房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公积金缴存比例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月缴存基数上限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月缴存额上限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职工月缴存额上限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单位月缴存额上限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12%</w:t>
            </w:r>
          </w:p>
        </w:tc>
        <w:tc>
          <w:tcPr>
            <w:tcW w:w="1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811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8594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4297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4297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11%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7878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3939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10%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7162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3581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9%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6446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3223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8%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730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28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28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7%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5014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2507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6%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42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21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21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5%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17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17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/>
    <w:sectPr>
      <w:pgSz w:w="11906" w:h="16838"/>
      <w:pgMar w:top="192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619E"/>
    <w:rsid w:val="161D619E"/>
    <w:rsid w:val="422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2025-09-24T08:22:00Z</dcterms:created>
  <dc:creator>吴小龙</dc:creator>
  <cp:lastModifiedBy>吴小龙</cp:lastModifiedBy>
  <dcterms:modified xsi:type="dcterms:W3CDTF">2025-09-24T08:22:42Z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